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C54D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Yapı İşleri </w:t>
            </w:r>
            <w:r w:rsidR="00693E5E">
              <w:rPr>
                <w:rFonts w:ascii="Cambria" w:hAnsi="Cambria" w:cstheme="minorHAnsi"/>
                <w:sz w:val="20"/>
                <w:szCs w:val="20"/>
              </w:rPr>
              <w:t xml:space="preserve">ve </w:t>
            </w:r>
            <w:r>
              <w:rPr>
                <w:rFonts w:ascii="Cambria" w:hAnsi="Cambria" w:cstheme="minorHAnsi"/>
                <w:sz w:val="20"/>
                <w:szCs w:val="20"/>
              </w:rPr>
              <w:t>Teknik 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C54D12" w:rsidP="00C54D1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C54D12" w:rsidRDefault="00C54D12" w:rsidP="00693E5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C54D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693E5E">
              <w:rPr>
                <w:rFonts w:ascii="Cambria" w:hAnsi="Cambria" w:cstheme="minorHAnsi"/>
                <w:sz w:val="20"/>
                <w:szCs w:val="20"/>
              </w:rPr>
              <w:t xml:space="preserve">e uygun olarak yerine getirmek. </w:t>
            </w:r>
            <w:proofErr w:type="gramStart"/>
            <w:r w:rsidRPr="00C54D12">
              <w:rPr>
                <w:rFonts w:ascii="Cambria" w:hAnsi="Cambria" w:cstheme="minorHAnsi"/>
                <w:sz w:val="20"/>
                <w:szCs w:val="20"/>
              </w:rPr>
              <w:t>Bina ve tesislerin projelerini hazırlatmak, ihale dosyalarını hazırlatmak, yapı ve onarımla ilgili ihaleleri yürütmek, inşaatları kontrol ettirmek, bakım ve onarımla ilgili işleri yapmak/yaptırmak, benzeri işleri yürütmek. Daire başkanlığını yönetmek ve temsil etmek.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 xml:space="preserve">nin 28’inci maddesi kapsamında </w:t>
            </w:r>
            <w:r w:rsidRPr="003B5B69">
              <w:rPr>
                <w:rFonts w:ascii="Cambria" w:hAnsi="Cambria" w:cstheme="minorHAnsi"/>
                <w:sz w:val="20"/>
                <w:szCs w:val="20"/>
              </w:rPr>
              <w:t>görevleri yapmak,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3B5B69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693E5E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 xml:space="preserve">Daire başkanlığının işlerinin </w:t>
            </w:r>
            <w:r w:rsidR="00C54D12" w:rsidRPr="003B5B69">
              <w:rPr>
                <w:rFonts w:ascii="Cambria" w:hAnsi="Cambria" w:cstheme="minorHAnsi"/>
                <w:sz w:val="20"/>
                <w:szCs w:val="20"/>
              </w:rPr>
              <w:t>yürüt</w:t>
            </w:r>
            <w:r w:rsidRPr="003B5B69">
              <w:rPr>
                <w:rFonts w:ascii="Cambria" w:hAnsi="Cambria" w:cstheme="minorHAnsi"/>
                <w:sz w:val="20"/>
                <w:szCs w:val="20"/>
              </w:rPr>
              <w:t>ül</w:t>
            </w:r>
            <w:r w:rsidR="00C54D12" w:rsidRPr="003B5B69">
              <w:rPr>
                <w:rFonts w:ascii="Cambria" w:hAnsi="Cambria" w:cstheme="minorHAnsi"/>
                <w:sz w:val="20"/>
                <w:szCs w:val="20"/>
              </w:rPr>
              <w:t>mesinde kanun, tüzük, yönetmelik, genelge, kararname ve diğer mevzuat hükümlerinin personel ta</w:t>
            </w:r>
            <w:r w:rsidRPr="003B5B69">
              <w:rPr>
                <w:rFonts w:ascii="Cambria" w:hAnsi="Cambria" w:cstheme="minorHAnsi"/>
                <w:sz w:val="20"/>
                <w:szCs w:val="20"/>
              </w:rPr>
              <w:t>rafından uygulanmasını sağlamak,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Üniversite bina ve tesislerin projelerinin yürütülmesi çalışmalarını koordine etmek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Yönetim ve denetimi kendisine verilen işlerin, sözleşme ve eklerine, şartnamelere, fen ve sanat kurallarına uygun olarak yapılıp süresinde bitirilme</w:t>
            </w:r>
            <w:r w:rsidR="003B5B69" w:rsidRPr="003B5B69">
              <w:rPr>
                <w:rFonts w:ascii="Cambria" w:hAnsi="Cambria" w:cstheme="minorHAnsi"/>
                <w:sz w:val="20"/>
                <w:szCs w:val="20"/>
              </w:rPr>
              <w:t>si için gerekli önlemleri almak,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Bilgi edinme yasası çerçevesinde, Bilgi Edinme birimince talep edilen yazılara cevap vermek</w:t>
            </w:r>
            <w:r w:rsidRPr="003B5B69">
              <w:rPr>
                <w:rFonts w:ascii="Cambria" w:hAnsi="Cambria"/>
                <w:sz w:val="20"/>
                <w:szCs w:val="20"/>
              </w:rPr>
              <w:t>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Daire Başkanlığı ile ilgili birim faaliyet raporunu hazırlamak,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Daire Başkanlığı için gerekli olan her türlü taşınır işlemlerinde taşınır mal yönetmeliğine göre işlem yapmak,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Üniversitemizin taşınmazları ile ilgili iş ve işlemleri takip etmek ve yürütmek,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Yıllık yatırım programlarını hazırlamak, bunların gerçekleştirilmesi için üniversitemiz diğer yatırımcı daireleri ile koordinasyonu sağlamak,</w:t>
            </w:r>
          </w:p>
          <w:p w:rsidR="003B5B69" w:rsidRPr="003B5B69" w:rsidRDefault="003B5B69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Yapı İşleri ve Teknik Daire Başkanlığına bağlı birimlerce düzenlenen plan, proje, rapor, yazı, tutanak ve işlerin yürütülmesi için gerekli diğer evrakı zamanında ve usulüne uygun olarak hazırlanmasını sağlamak ve imzalamak,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İşi, idarece onaylanmış projeler ve detaylara göre yaptırmak, proje eksiklerini gidermek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Sorumluluğundaki işleri bizzat veya kontrol teşkilatı aracılığıyla yerinde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 xml:space="preserve"> inceleyerek denetimlerini yapmak,</w:t>
            </w:r>
          </w:p>
          <w:p w:rsidR="00C54D12" w:rsidRPr="003B5B69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C54D12" w:rsidRDefault="00C54D12" w:rsidP="00693E5E">
            <w:pPr>
              <w:numPr>
                <w:ilvl w:val="0"/>
                <w:numId w:val="9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693E5E" w:rsidRPr="003B5B6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93E5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54D12" w:rsidRPr="00C54D12" w:rsidRDefault="00C54D12" w:rsidP="00693E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54D12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693E5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C54D12" w:rsidRDefault="00C54D12" w:rsidP="00693E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54D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93E5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54D12" w:rsidRPr="00C54D12" w:rsidRDefault="00C54D12" w:rsidP="00693E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54D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93E5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C54D12" w:rsidRDefault="00C54D12" w:rsidP="00693E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4D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93E5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54D12" w:rsidRPr="00B87134" w:rsidTr="0029047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54D12" w:rsidRPr="00237669" w:rsidRDefault="00C54D12" w:rsidP="0029047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C54D12" w:rsidRPr="00B87134" w:rsidTr="00290479">
        <w:trPr>
          <w:trHeight w:val="557"/>
        </w:trPr>
        <w:tc>
          <w:tcPr>
            <w:tcW w:w="10203" w:type="dxa"/>
            <w:shd w:val="clear" w:color="auto" w:fill="auto"/>
          </w:tcPr>
          <w:p w:rsidR="00C54D12" w:rsidRPr="003B5B69" w:rsidRDefault="00C54D12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3B5B6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bookmarkEnd w:id="0"/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lastRenderedPageBreak/>
              <w:t>4734 Sayılı Kamu İhale Kanunu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  <w:p w:rsidR="003B5B69" w:rsidRPr="003B5B69" w:rsidRDefault="003B5B69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B69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C54D12" w:rsidRPr="00C54D12" w:rsidRDefault="00C54D12" w:rsidP="00693E5E">
            <w:pPr>
              <w:numPr>
                <w:ilvl w:val="0"/>
                <w:numId w:val="1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5B69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C9" w:rsidRDefault="008B17C9">
      <w:pPr>
        <w:spacing w:after="0" w:line="240" w:lineRule="auto"/>
      </w:pPr>
      <w:r>
        <w:separator/>
      </w:r>
    </w:p>
  </w:endnote>
  <w:endnote w:type="continuationSeparator" w:id="0">
    <w:p w:rsidR="008B17C9" w:rsidRDefault="008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5B6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5B6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C9" w:rsidRDefault="008B17C9">
      <w:pPr>
        <w:spacing w:after="0" w:line="240" w:lineRule="auto"/>
      </w:pPr>
      <w:r>
        <w:separator/>
      </w:r>
    </w:p>
  </w:footnote>
  <w:footnote w:type="continuationSeparator" w:id="0">
    <w:p w:rsidR="008B17C9" w:rsidRDefault="008B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B17C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586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69A0"/>
    <w:multiLevelType w:val="hybridMultilevel"/>
    <w:tmpl w:val="00562C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5DF25475"/>
    <w:multiLevelType w:val="hybridMultilevel"/>
    <w:tmpl w:val="88406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D64653"/>
    <w:multiLevelType w:val="hybridMultilevel"/>
    <w:tmpl w:val="9536C65C"/>
    <w:lvl w:ilvl="0" w:tplc="378414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5B69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0920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E5E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17C9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D12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534C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2021-11-13T19:58:00Z</dcterms:created>
  <dcterms:modified xsi:type="dcterms:W3CDTF">2021-11-23T12:18:00Z</dcterms:modified>
</cp:coreProperties>
</file>